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A3" w:rsidRDefault="00513DA3"/>
    <w:p w:rsidR="007D6546" w:rsidRDefault="00A01628" w:rsidP="007D6546">
      <w:pPr>
        <w:jc w:val="center"/>
        <w:rPr>
          <w:sz w:val="40"/>
          <w:szCs w:val="40"/>
        </w:rPr>
      </w:pPr>
      <w:r>
        <w:rPr>
          <w:sz w:val="40"/>
          <w:szCs w:val="40"/>
        </w:rPr>
        <w:t>Hemodynamický monitor</w:t>
      </w:r>
    </w:p>
    <w:p w:rsidR="007D6546" w:rsidRDefault="007D6546"/>
    <w:p w:rsidR="007D6546" w:rsidRPr="007D6546" w:rsidRDefault="007D6546">
      <w:pPr>
        <w:rPr>
          <w:u w:val="single"/>
        </w:rPr>
      </w:pPr>
      <w:r w:rsidRPr="007D6546">
        <w:rPr>
          <w:u w:val="single"/>
        </w:rPr>
        <w:t>Popis:</w:t>
      </w:r>
    </w:p>
    <w:p w:rsidR="007D6546" w:rsidRDefault="00A01628">
      <w:r>
        <w:t>Hemodynamický monitor pro potřeby kliniky anesteziologie, perioperační a intenzivní medicíny pro monitoraci životně důležitých parametrů u pacientů po kardiochirurgických operacích.</w:t>
      </w:r>
    </w:p>
    <w:p w:rsidR="007D6546" w:rsidRPr="007D6546" w:rsidRDefault="007D6546">
      <w:pPr>
        <w:rPr>
          <w:u w:val="single"/>
        </w:rPr>
      </w:pPr>
      <w:r w:rsidRPr="007D6546">
        <w:rPr>
          <w:u w:val="single"/>
        </w:rPr>
        <w:t>Technická specifikace:</w:t>
      </w:r>
    </w:p>
    <w:p w:rsidR="007D6546" w:rsidRDefault="00A01628" w:rsidP="0004208B">
      <w:pPr>
        <w:pStyle w:val="Odstavecseseznamem"/>
        <w:numPr>
          <w:ilvl w:val="0"/>
          <w:numId w:val="12"/>
        </w:numPr>
      </w:pPr>
      <w:r>
        <w:t>2ks hemodynamický monitor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Monitor použitelný pro dospělé a pediatrické pacienty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LCD displej s</w:t>
      </w:r>
      <w:r w:rsidR="00B25727">
        <w:t> </w:t>
      </w:r>
      <w:r>
        <w:t>úhlopříčkou</w:t>
      </w:r>
      <w:r w:rsidR="00B25727">
        <w:t xml:space="preserve"> min.</w:t>
      </w:r>
      <w:r>
        <w:t xml:space="preserve"> 12“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Dotykový barevný LCD displej s rozlišením min. 1024x768</w:t>
      </w:r>
    </w:p>
    <w:p w:rsidR="009541F0" w:rsidRDefault="009541F0" w:rsidP="0004208B">
      <w:pPr>
        <w:pStyle w:val="Odstavecseseznamem"/>
        <w:numPr>
          <w:ilvl w:val="0"/>
          <w:numId w:val="12"/>
        </w:numPr>
      </w:pPr>
      <w:r>
        <w:t>Zobrazení min. 4 měřených parametrů na displeji</w:t>
      </w:r>
    </w:p>
    <w:p w:rsidR="009541F0" w:rsidRDefault="00857EFE" w:rsidP="0004208B">
      <w:pPr>
        <w:pStyle w:val="Odstavecseseznamem"/>
        <w:numPr>
          <w:ilvl w:val="0"/>
          <w:numId w:val="12"/>
        </w:numPr>
      </w:pPr>
      <w:r>
        <w:t>Výběr z </w:t>
      </w:r>
      <w:r w:rsidR="009541F0">
        <w:t>přednastavených módu rozložení displeje (min. grafické trendy, tabulkové trendy a fyziologie)</w:t>
      </w:r>
      <w:bookmarkStart w:id="0" w:name="_GoBack"/>
      <w:bookmarkEnd w:id="0"/>
    </w:p>
    <w:p w:rsidR="009541F0" w:rsidRDefault="009541F0" w:rsidP="0004208B">
      <w:pPr>
        <w:pStyle w:val="Odstavecseseznamem"/>
        <w:numPr>
          <w:ilvl w:val="0"/>
          <w:numId w:val="12"/>
        </w:numPr>
      </w:pPr>
      <w:r>
        <w:t>Ukládání trendů min. 72h zpětně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Monitorace parametrů: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CO</w:t>
      </w:r>
      <w:r>
        <w:tab/>
      </w:r>
      <w:r>
        <w:tab/>
      </w:r>
      <w:r w:rsidR="00A01628" w:rsidRPr="00FC2F19">
        <w:t>kontinuální srdeční výdej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sCO</w:t>
      </w:r>
      <w:r>
        <w:tab/>
      </w:r>
      <w:r>
        <w:tab/>
      </w:r>
      <w:r w:rsidR="00A01628" w:rsidRPr="00FC2F19">
        <w:t>srdeční výdej STAT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CI</w:t>
      </w:r>
      <w:r>
        <w:tab/>
      </w:r>
      <w:r>
        <w:tab/>
      </w:r>
      <w:r w:rsidR="00A01628" w:rsidRPr="00FC2F19">
        <w:t>kontinuální srdeční index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sCI</w:t>
      </w:r>
      <w:r>
        <w:tab/>
      </w:r>
      <w:r>
        <w:tab/>
      </w:r>
      <w:r w:rsidR="00A01628" w:rsidRPr="00FC2F19">
        <w:t>srdeční index STAT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EDV</w:t>
      </w:r>
      <w:r>
        <w:tab/>
      </w:r>
      <w:r>
        <w:tab/>
      </w:r>
      <w:r w:rsidR="00A01628" w:rsidRPr="00FC2F19">
        <w:t>end-diastolický objem pravé komory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sEDV</w:t>
      </w:r>
      <w:r>
        <w:tab/>
      </w:r>
      <w:r>
        <w:tab/>
      </w:r>
      <w:r w:rsidR="00A01628" w:rsidRPr="00FC2F19">
        <w:t>end-diastolický objem pravé komory STAT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EDVI</w:t>
      </w:r>
      <w:r>
        <w:tab/>
      </w:r>
      <w:r>
        <w:tab/>
      </w:r>
      <w:r w:rsidR="00A01628" w:rsidRPr="00FC2F19">
        <w:t>index end-diastolického objemu pravé komory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sEDVI</w:t>
      </w:r>
      <w:r>
        <w:tab/>
      </w:r>
      <w:r>
        <w:tab/>
      </w:r>
      <w:r w:rsidR="00A01628" w:rsidRPr="00FC2F19">
        <w:t>index end-diastolického objemu pravé komory STAT</w:t>
      </w:r>
    </w:p>
    <w:p w:rsidR="00A01628" w:rsidRPr="00FC2F19" w:rsidRDefault="00A01628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HR</w:t>
      </w:r>
      <w:r w:rsidR="00FC2F19">
        <w:t>pr.</w:t>
      </w:r>
      <w:r w:rsidR="00FC2F19">
        <w:tab/>
      </w:r>
      <w:r w:rsidR="00FC2F19">
        <w:tab/>
      </w:r>
      <w:r w:rsidRPr="00FC2F19">
        <w:t>průměrná srdeční frekvence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LVSWI</w:t>
      </w:r>
      <w:r>
        <w:tab/>
      </w:r>
      <w:r>
        <w:tab/>
      </w:r>
      <w:r w:rsidR="00A01628" w:rsidRPr="00FC2F19">
        <w:t>index stahu levé komory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PVR</w:t>
      </w:r>
      <w:r>
        <w:tab/>
      </w:r>
      <w:r>
        <w:tab/>
      </w:r>
      <w:r w:rsidR="00A01628" w:rsidRPr="00FC2F19">
        <w:t>plicní cévní odpor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PVRI</w:t>
      </w:r>
      <w:r>
        <w:tab/>
      </w:r>
      <w:r>
        <w:tab/>
      </w:r>
      <w:r w:rsidR="00A01628" w:rsidRPr="00FC2F19">
        <w:t>index plicního cévního odporu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RVEF</w:t>
      </w:r>
      <w:r>
        <w:tab/>
      </w:r>
      <w:r>
        <w:tab/>
      </w:r>
      <w:r w:rsidR="00A01628" w:rsidRPr="00FC2F19">
        <w:t>ejekční frakce pravé komory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sRVEF</w:t>
      </w:r>
      <w:r>
        <w:tab/>
      </w:r>
      <w:r>
        <w:tab/>
      </w:r>
      <w:r w:rsidR="00A01628" w:rsidRPr="00FC2F19">
        <w:t>ejekční frakce pravé komory STAT</w:t>
      </w:r>
    </w:p>
    <w:p w:rsidR="00A01628" w:rsidRPr="00FC2F19" w:rsidRDefault="00A01628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RVSWI</w:t>
      </w:r>
      <w:r w:rsidR="00FC2F19">
        <w:tab/>
      </w:r>
      <w:r w:rsidR="00FC2F19">
        <w:tab/>
      </w:r>
      <w:r w:rsidRPr="00FC2F19">
        <w:t>index stahu pravé komory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SV</w:t>
      </w:r>
      <w:r>
        <w:tab/>
      </w:r>
      <w:r>
        <w:tab/>
      </w:r>
      <w:r w:rsidR="00A01628" w:rsidRPr="00FC2F19">
        <w:t>tepový objem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SVI</w:t>
      </w:r>
      <w:r>
        <w:tab/>
      </w:r>
      <w:r>
        <w:tab/>
      </w:r>
      <w:r w:rsidR="00A01628" w:rsidRPr="00FC2F19">
        <w:t>index tepového objemu</w:t>
      </w:r>
    </w:p>
    <w:p w:rsidR="00A01628" w:rsidRPr="00FC2F19" w:rsidRDefault="00FC2F19" w:rsidP="00A01628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SVR</w:t>
      </w:r>
      <w:r>
        <w:tab/>
      </w:r>
      <w:r>
        <w:tab/>
      </w:r>
      <w:r w:rsidR="00A01628" w:rsidRPr="00FC2F19">
        <w:t>systémový cévní odpor</w:t>
      </w:r>
    </w:p>
    <w:p w:rsidR="00A01628" w:rsidRDefault="00A01628" w:rsidP="00A01628">
      <w:pPr>
        <w:pStyle w:val="Odstavecseseznamem"/>
        <w:numPr>
          <w:ilvl w:val="1"/>
          <w:numId w:val="12"/>
        </w:numPr>
      </w:pPr>
      <w:r w:rsidRPr="00FC2F19">
        <w:t>SVRI</w:t>
      </w:r>
      <w:r w:rsidR="00FC2F19">
        <w:tab/>
      </w:r>
      <w:r w:rsidR="00FC2F19">
        <w:tab/>
      </w:r>
      <w:r w:rsidRPr="00FC2F19">
        <w:t>index systémového cévního odporu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iCO</w:t>
      </w:r>
      <w:r>
        <w:tab/>
      </w:r>
      <w:r>
        <w:tab/>
      </w:r>
      <w:r w:rsidRPr="00FC2F19">
        <w:t>intermitentní srdeční výdej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iCI</w:t>
      </w:r>
      <w:r>
        <w:tab/>
      </w:r>
      <w:r>
        <w:tab/>
      </w:r>
      <w:r w:rsidRPr="00FC2F19">
        <w:t>intermitentní srdeční index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>
        <w:t>iSVR</w:t>
      </w:r>
      <w:r>
        <w:tab/>
      </w:r>
      <w:r>
        <w:tab/>
      </w:r>
      <w:r w:rsidRPr="00FC2F19">
        <w:t>intermitentní systémový cévní odpor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</w:pPr>
      <w:r>
        <w:t>iSVRI</w:t>
      </w:r>
      <w:r>
        <w:tab/>
      </w:r>
      <w:r>
        <w:tab/>
      </w:r>
      <w:r w:rsidRPr="00FC2F19">
        <w:t>index intermitentního systémového cévního odporu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SvO2</w:t>
      </w:r>
      <w:r>
        <w:tab/>
      </w:r>
      <w:r>
        <w:tab/>
      </w:r>
      <w:r w:rsidRPr="00FC2F19">
        <w:t>saturace kyslíkem ve smíšené žilní krvi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ScvO</w:t>
      </w:r>
      <w:r>
        <w:t>2</w:t>
      </w:r>
      <w:r>
        <w:tab/>
      </w:r>
      <w:r>
        <w:tab/>
      </w:r>
      <w:r w:rsidRPr="00FC2F19">
        <w:t>saturace kyslíkem v centrální žilní krvi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DO2</w:t>
      </w:r>
      <w:r>
        <w:tab/>
      </w:r>
      <w:r>
        <w:tab/>
      </w:r>
      <w:r w:rsidRPr="00FC2F19">
        <w:t>dodávka kyslíku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DO2I</w:t>
      </w:r>
      <w:r>
        <w:tab/>
      </w:r>
      <w:r>
        <w:tab/>
      </w:r>
      <w:r w:rsidRPr="00FC2F19">
        <w:t>index dodávky kyslíku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 xml:space="preserve">VO2 </w:t>
      </w:r>
      <w:r>
        <w:tab/>
      </w:r>
      <w:r>
        <w:tab/>
      </w:r>
      <w:r w:rsidRPr="00FC2F19">
        <w:t>spotřeba kyslíku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>VO2e</w:t>
      </w:r>
      <w:r>
        <w:t xml:space="preserve"> </w:t>
      </w:r>
      <w:r>
        <w:tab/>
      </w:r>
      <w:r>
        <w:tab/>
      </w:r>
      <w:r w:rsidRPr="00FC2F19">
        <w:t>odhadovaná spotřeba kyslíku, když je monitorována ScvO2</w:t>
      </w:r>
    </w:p>
    <w:p w:rsidR="00FC2F19" w:rsidRP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lastRenderedPageBreak/>
        <w:t xml:space="preserve">VO2I           </w:t>
      </w:r>
      <w:r>
        <w:tab/>
      </w:r>
      <w:r w:rsidRPr="00FC2F19">
        <w:t>index spotřeby kyslíku</w:t>
      </w:r>
    </w:p>
    <w:p w:rsidR="00FC2F19" w:rsidRDefault="00FC2F19" w:rsidP="00FC2F19">
      <w:pPr>
        <w:pStyle w:val="Odstavecseseznamem"/>
        <w:numPr>
          <w:ilvl w:val="1"/>
          <w:numId w:val="12"/>
        </w:numPr>
        <w:autoSpaceDE w:val="0"/>
        <w:autoSpaceDN w:val="0"/>
        <w:adjustRightInd w:val="0"/>
      </w:pPr>
      <w:r w:rsidRPr="00FC2F19">
        <w:t xml:space="preserve">VO2Ie         </w:t>
      </w:r>
      <w:r>
        <w:tab/>
      </w:r>
      <w:r w:rsidRPr="00FC2F19">
        <w:t>index odhadované spotřeby kyslíku, když je monitorována ScvO2</w:t>
      </w:r>
    </w:p>
    <w:p w:rsidR="00A01628" w:rsidRDefault="005A3381" w:rsidP="0004208B">
      <w:pPr>
        <w:pStyle w:val="Odstavecseseznamem"/>
        <w:numPr>
          <w:ilvl w:val="0"/>
          <w:numId w:val="12"/>
        </w:numPr>
      </w:pPr>
      <w:r>
        <w:t>Min. 2</w:t>
      </w:r>
      <w:r w:rsidR="00A01628">
        <w:t>x USB port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LAN a WiFi připojení</w:t>
      </w:r>
    </w:p>
    <w:p w:rsidR="00AD52B9" w:rsidRDefault="00AD52B9" w:rsidP="0004208B">
      <w:pPr>
        <w:pStyle w:val="Odstavecseseznamem"/>
        <w:numPr>
          <w:ilvl w:val="0"/>
          <w:numId w:val="12"/>
        </w:numPr>
      </w:pPr>
      <w:r>
        <w:t>Komunikace s NIS pro odesílání a přijímání dat o pacientovi</w:t>
      </w:r>
    </w:p>
    <w:p w:rsidR="008425F0" w:rsidRDefault="008425F0" w:rsidP="0004208B">
      <w:pPr>
        <w:pStyle w:val="Odstavecseseznamem"/>
        <w:numPr>
          <w:ilvl w:val="0"/>
          <w:numId w:val="12"/>
        </w:numPr>
      </w:pPr>
      <w:r>
        <w:t>Elektronické vedení záznamu léčby pacienta vč. možnosti záznamu o podání léčiv a jakékoliv intervence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Obrazový výstup min. HDMI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Hmotnost max. 5kg</w:t>
      </w:r>
    </w:p>
    <w:p w:rsidR="00A01628" w:rsidRDefault="00A01628" w:rsidP="0004208B">
      <w:pPr>
        <w:pStyle w:val="Odstavecseseznamem"/>
        <w:numPr>
          <w:ilvl w:val="0"/>
          <w:numId w:val="12"/>
        </w:numPr>
      </w:pPr>
      <w:r>
        <w:t>Provoz na 230V / 50 Hz i na baterie (součástí dodávky)</w:t>
      </w:r>
    </w:p>
    <w:p w:rsidR="009541F0" w:rsidRDefault="009541F0" w:rsidP="0004208B">
      <w:pPr>
        <w:pStyle w:val="Odstavecseseznamem"/>
        <w:numPr>
          <w:ilvl w:val="0"/>
          <w:numId w:val="12"/>
        </w:numPr>
      </w:pPr>
      <w:r>
        <w:t>Uživatelské rozhraní v českém jazyce</w:t>
      </w:r>
    </w:p>
    <w:p w:rsidR="009541F0" w:rsidRDefault="009541F0" w:rsidP="009541F0">
      <w:pPr>
        <w:pStyle w:val="Odstavecseseznamem"/>
        <w:numPr>
          <w:ilvl w:val="0"/>
          <w:numId w:val="12"/>
        </w:numPr>
      </w:pPr>
      <w:r>
        <w:t>Vizuální i akustické upozornění na alarmy (technické i fyziologické)</w:t>
      </w:r>
    </w:p>
    <w:p w:rsidR="00AD52B9" w:rsidRDefault="008425F0" w:rsidP="009541F0">
      <w:pPr>
        <w:pStyle w:val="Odstavecseseznamem"/>
        <w:numPr>
          <w:ilvl w:val="0"/>
          <w:numId w:val="12"/>
        </w:numPr>
      </w:pPr>
      <w:r>
        <w:t>E</w:t>
      </w:r>
      <w:r w:rsidR="00AD52B9">
        <w:t>xportu dat</w:t>
      </w:r>
      <w:r>
        <w:t xml:space="preserve"> a záznamu léčby</w:t>
      </w:r>
      <w:r w:rsidR="00AD52B9">
        <w:t xml:space="preserve"> na USB flash paměť</w:t>
      </w:r>
    </w:p>
    <w:p w:rsidR="00AD52B9" w:rsidRDefault="00AD52B9" w:rsidP="009541F0">
      <w:pPr>
        <w:pStyle w:val="Odstavecseseznamem"/>
        <w:numPr>
          <w:ilvl w:val="0"/>
          <w:numId w:val="12"/>
        </w:numPr>
      </w:pPr>
      <w:r>
        <w:t>Monitor musí být připojitelný do současných monitorů vitálních funkcí (výrobce GE Healthcare</w:t>
      </w:r>
      <w:r w:rsidR="002A375A">
        <w:t>, typ B450, B650 a B850</w:t>
      </w:r>
      <w:r>
        <w:t>) z důvodu získávání analogových signálů z EKG a tlaku</w:t>
      </w:r>
    </w:p>
    <w:p w:rsidR="008425F0" w:rsidRDefault="008425F0" w:rsidP="009541F0">
      <w:pPr>
        <w:pStyle w:val="Odstavecseseznamem"/>
        <w:numPr>
          <w:ilvl w:val="0"/>
          <w:numId w:val="12"/>
        </w:numPr>
      </w:pPr>
      <w:r>
        <w:t>Možnost budoucího rozšíření o modul pro:</w:t>
      </w:r>
    </w:p>
    <w:p w:rsidR="008425F0" w:rsidRDefault="008425F0" w:rsidP="008425F0">
      <w:pPr>
        <w:pStyle w:val="Odstavecseseznamem"/>
        <w:numPr>
          <w:ilvl w:val="1"/>
          <w:numId w:val="12"/>
        </w:numPr>
      </w:pPr>
      <w:r>
        <w:t>měření hemodynamických parametrů z aortální linky</w:t>
      </w:r>
    </w:p>
    <w:p w:rsidR="008425F0" w:rsidRDefault="008425F0" w:rsidP="003D1227">
      <w:pPr>
        <w:pStyle w:val="Odstavecseseznamem"/>
        <w:numPr>
          <w:ilvl w:val="1"/>
          <w:numId w:val="12"/>
        </w:numPr>
      </w:pPr>
      <w:r>
        <w:t>měření hemodynamických parametrů neinvazivně</w:t>
      </w:r>
    </w:p>
    <w:p w:rsidR="009541F0" w:rsidRDefault="009541F0" w:rsidP="0004208B">
      <w:pPr>
        <w:pStyle w:val="Odstavecseseznamem"/>
        <w:numPr>
          <w:ilvl w:val="0"/>
          <w:numId w:val="12"/>
        </w:numPr>
      </w:pPr>
      <w:r>
        <w:t>Příslušenství</w:t>
      </w:r>
      <w:r w:rsidR="00B8747C">
        <w:t xml:space="preserve"> pro každý monitor</w:t>
      </w:r>
      <w:r>
        <w:t>:</w:t>
      </w:r>
    </w:p>
    <w:p w:rsidR="009541F0" w:rsidRDefault="00AD52B9" w:rsidP="009541F0">
      <w:pPr>
        <w:pStyle w:val="Odstavecseseznamem"/>
        <w:numPr>
          <w:ilvl w:val="1"/>
          <w:numId w:val="12"/>
        </w:numPr>
      </w:pPr>
      <w:r>
        <w:t>2ks pacientský kabel pro měření CO a dalších parametrů</w:t>
      </w:r>
    </w:p>
    <w:p w:rsidR="00AD52B9" w:rsidRDefault="00AD52B9" w:rsidP="009541F0">
      <w:pPr>
        <w:pStyle w:val="Odstavecseseznamem"/>
        <w:numPr>
          <w:ilvl w:val="1"/>
          <w:numId w:val="12"/>
        </w:numPr>
      </w:pPr>
      <w:r>
        <w:t>2ks pacientsků kabel pro měření oxymetrie</w:t>
      </w:r>
    </w:p>
    <w:p w:rsidR="00AD52B9" w:rsidRDefault="00AD52B9" w:rsidP="009541F0">
      <w:pPr>
        <w:pStyle w:val="Odstavecseseznamem"/>
        <w:numPr>
          <w:ilvl w:val="1"/>
          <w:numId w:val="12"/>
        </w:numPr>
      </w:pPr>
      <w:r>
        <w:t>5ks Swan-Ganz katétr</w:t>
      </w:r>
      <w:r w:rsidR="002A375A">
        <w:t xml:space="preserve"> pro měření kontinuálního CO, SvO2 a enddiastolického objemu pravé komory</w:t>
      </w:r>
    </w:p>
    <w:p w:rsidR="002A375A" w:rsidRDefault="002A375A" w:rsidP="009541F0">
      <w:pPr>
        <w:pStyle w:val="Odstavecseseznamem"/>
        <w:numPr>
          <w:ilvl w:val="1"/>
          <w:numId w:val="12"/>
        </w:numPr>
      </w:pPr>
      <w:r>
        <w:t>5ks oxymetrický centrální katetr (3 cestný, délka min. 20 cm)</w:t>
      </w:r>
    </w:p>
    <w:p w:rsidR="00AD52B9" w:rsidRDefault="00AD52B9" w:rsidP="009541F0">
      <w:pPr>
        <w:pStyle w:val="Odstavecseseznamem"/>
        <w:numPr>
          <w:ilvl w:val="1"/>
          <w:numId w:val="12"/>
        </w:numPr>
      </w:pPr>
      <w:r>
        <w:t>Kabely pro připojení ke stávajícím monitorům životních funkcí pro získávání analogových signálů z EKG a tlaku</w:t>
      </w:r>
    </w:p>
    <w:p w:rsidR="00A01628" w:rsidRDefault="00A01628" w:rsidP="00B8747C">
      <w:pPr>
        <w:pStyle w:val="Odstavecseseznamem"/>
        <w:numPr>
          <w:ilvl w:val="1"/>
          <w:numId w:val="12"/>
        </w:numPr>
      </w:pPr>
      <w:r>
        <w:t>Pojízdný vo</w:t>
      </w:r>
      <w:r w:rsidR="00B8747C">
        <w:t>zík pro umístění výše uvedeného</w:t>
      </w:r>
    </w:p>
    <w:p w:rsidR="00FC42E9" w:rsidRDefault="00FC42E9" w:rsidP="00FC42E9">
      <w:pPr>
        <w:pStyle w:val="Odstavecseseznamem"/>
        <w:numPr>
          <w:ilvl w:val="0"/>
          <w:numId w:val="12"/>
        </w:numPr>
      </w:pPr>
      <w:r>
        <w:t>Záruka min. 24 měsíců</w:t>
      </w:r>
    </w:p>
    <w:p w:rsidR="007D6546" w:rsidRDefault="007D6546"/>
    <w:sectPr w:rsidR="007D65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D64" w:rsidRDefault="001B6D64" w:rsidP="00A86D91">
      <w:pPr>
        <w:spacing w:after="0" w:line="240" w:lineRule="auto"/>
      </w:pPr>
      <w:r>
        <w:separator/>
      </w:r>
    </w:p>
  </w:endnote>
  <w:endnote w:type="continuationSeparator" w:id="0">
    <w:p w:rsidR="001B6D64" w:rsidRDefault="001B6D64" w:rsidP="00A86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D64" w:rsidRDefault="001B6D64" w:rsidP="00A86D91">
      <w:pPr>
        <w:spacing w:after="0" w:line="240" w:lineRule="auto"/>
      </w:pPr>
      <w:r>
        <w:separator/>
      </w:r>
    </w:p>
  </w:footnote>
  <w:footnote w:type="continuationSeparator" w:id="0">
    <w:p w:rsidR="001B6D64" w:rsidRDefault="001B6D64" w:rsidP="00A86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727" w:rsidRDefault="00B257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406EC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1">
    <w:nsid w:val="25FE3833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">
    <w:nsid w:val="27C606BE"/>
    <w:multiLevelType w:val="hybridMultilevel"/>
    <w:tmpl w:val="A154ACAC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2DB66D2C"/>
    <w:multiLevelType w:val="hybridMultilevel"/>
    <w:tmpl w:val="5E8CB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34C8A"/>
    <w:multiLevelType w:val="hybridMultilevel"/>
    <w:tmpl w:val="016E4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024F6"/>
    <w:multiLevelType w:val="hybridMultilevel"/>
    <w:tmpl w:val="798216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F4915"/>
    <w:multiLevelType w:val="hybridMultilevel"/>
    <w:tmpl w:val="D75A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5F6676"/>
    <w:multiLevelType w:val="multilevel"/>
    <w:tmpl w:val="6B5ACA10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8">
    <w:nsid w:val="6D2F7860"/>
    <w:multiLevelType w:val="hybridMultilevel"/>
    <w:tmpl w:val="411C1B0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5B61CF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75D0063"/>
    <w:multiLevelType w:val="hybridMultilevel"/>
    <w:tmpl w:val="5A54E3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46"/>
    <w:rsid w:val="0004208B"/>
    <w:rsid w:val="00126436"/>
    <w:rsid w:val="001B6D64"/>
    <w:rsid w:val="0021678B"/>
    <w:rsid w:val="002A375A"/>
    <w:rsid w:val="003D1227"/>
    <w:rsid w:val="005103E5"/>
    <w:rsid w:val="00513DA3"/>
    <w:rsid w:val="00514761"/>
    <w:rsid w:val="00595182"/>
    <w:rsid w:val="005A3381"/>
    <w:rsid w:val="006A13E8"/>
    <w:rsid w:val="006D2566"/>
    <w:rsid w:val="007050EF"/>
    <w:rsid w:val="007D6546"/>
    <w:rsid w:val="007F04AA"/>
    <w:rsid w:val="008063CC"/>
    <w:rsid w:val="008425F0"/>
    <w:rsid w:val="008541C3"/>
    <w:rsid w:val="00857EFE"/>
    <w:rsid w:val="008C0A99"/>
    <w:rsid w:val="008D10D7"/>
    <w:rsid w:val="009541F0"/>
    <w:rsid w:val="009706FD"/>
    <w:rsid w:val="009B4DCD"/>
    <w:rsid w:val="009B7016"/>
    <w:rsid w:val="00A01628"/>
    <w:rsid w:val="00A241A6"/>
    <w:rsid w:val="00A86D91"/>
    <w:rsid w:val="00AA1734"/>
    <w:rsid w:val="00AD52B9"/>
    <w:rsid w:val="00B25727"/>
    <w:rsid w:val="00B3516C"/>
    <w:rsid w:val="00B446BE"/>
    <w:rsid w:val="00B8747C"/>
    <w:rsid w:val="00BB45AA"/>
    <w:rsid w:val="00D2020A"/>
    <w:rsid w:val="00DC0E2F"/>
    <w:rsid w:val="00E23212"/>
    <w:rsid w:val="00E25D8C"/>
    <w:rsid w:val="00EC2C0D"/>
    <w:rsid w:val="00EF6F34"/>
    <w:rsid w:val="00F95506"/>
    <w:rsid w:val="00FC2F19"/>
    <w:rsid w:val="00FC42E9"/>
    <w:rsid w:val="00FF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6F667E-C063-485C-AC29-A89D6207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050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7D6546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D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omente">
    <w:name w:val="annotation text"/>
    <w:basedOn w:val="Normln"/>
    <w:link w:val="TextkomenteChar"/>
    <w:rsid w:val="007D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D654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qFormat/>
    <w:rsid w:val="007D6546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7D6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D6546"/>
    <w:rPr>
      <w:rFonts w:ascii="Times New Roman" w:eastAsia="Arial Unicode MS" w:hAnsi="Times New Roman" w:cs="Times New Roman"/>
      <w:b/>
      <w:bCs/>
      <w:caps/>
      <w:sz w:val="24"/>
      <w:szCs w:val="20"/>
      <w:lang w:eastAsia="cs-CZ"/>
    </w:rPr>
  </w:style>
  <w:style w:type="paragraph" w:customStyle="1" w:styleId="Adresa">
    <w:name w:val="Adresa"/>
    <w:basedOn w:val="Normln"/>
    <w:rsid w:val="007D6546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Odkaznakoment">
    <w:name w:val="annotation reference"/>
    <w:basedOn w:val="Standardnpsmoodstavce"/>
    <w:unhideWhenUsed/>
    <w:rsid w:val="0021678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78B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7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78B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050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semiHidden/>
    <w:rsid w:val="007050EF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050E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6D91"/>
  </w:style>
  <w:style w:type="paragraph" w:styleId="Zpat">
    <w:name w:val="footer"/>
    <w:basedOn w:val="Normln"/>
    <w:link w:val="ZpatChar"/>
    <w:uiPriority w:val="99"/>
    <w:unhideWhenUsed/>
    <w:rsid w:val="00A86D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3D9E-F7EF-412B-A557-9184C525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2549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 Martin</dc:creator>
  <cp:lastModifiedBy>Sedlák Marek</cp:lastModifiedBy>
  <cp:revision>4</cp:revision>
  <dcterms:created xsi:type="dcterms:W3CDTF">2018-05-09T07:06:00Z</dcterms:created>
  <dcterms:modified xsi:type="dcterms:W3CDTF">2018-05-21T13:02:00Z</dcterms:modified>
</cp:coreProperties>
</file>